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after="0" w:line="360" w:lineRule="auto"/>
        <w:jc w:val="center"/>
        <w:rPr>
          <w:rFonts w:ascii="楷体_GB2312" w:hAnsi="楷体_GB2312" w:eastAsia="楷体_GB2312" w:cs="楷体_GB2312"/>
          <w:b/>
          <w:color w:val="000000"/>
          <w:sz w:val="30"/>
          <w:szCs w:val="30"/>
          <w:shd w:val="clear" w:color="auto" w:fill="FFFFFF"/>
        </w:rPr>
      </w:pPr>
      <w:r>
        <w:rPr>
          <w:rFonts w:hint="eastAsia" w:ascii="楷体_GB2312" w:hAnsi="楷体_GB2312" w:eastAsia="楷体_GB2312" w:cs="楷体_GB2312"/>
          <w:b/>
          <w:color w:val="000000"/>
          <w:sz w:val="30"/>
          <w:szCs w:val="30"/>
          <w:shd w:val="clear" w:color="auto" w:fill="FFFFFF"/>
        </w:rPr>
        <w:t>“2018年浙江经济职业技术学院汽车轮胎拆装与检查技能比赛”竞赛规程</w:t>
      </w:r>
    </w:p>
    <w:p>
      <w:pPr>
        <w:spacing w:line="360" w:lineRule="auto"/>
        <w:rPr>
          <w:rFonts w:ascii="楷体_GB2312" w:hAnsi="楷体_GB2312" w:eastAsia="楷体_GB2312" w:cs="楷体_GB2312"/>
          <w:kern w:val="0"/>
          <w:sz w:val="28"/>
          <w:szCs w:val="28"/>
        </w:rPr>
      </w:pPr>
      <w:r>
        <w:rPr>
          <w:rFonts w:hint="eastAsia" w:ascii="楷体_GB2312" w:hAnsi="楷体_GB2312" w:eastAsia="楷体_GB2312" w:cs="楷体_GB2312"/>
          <w:b/>
          <w:sz w:val="28"/>
          <w:szCs w:val="28"/>
        </w:rPr>
        <w:t>一、比赛目的</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汽车车轮和轮胎是行驶系中的重要部件，起着支撑整车、缓和由路面传来的冲击力，同时通过轮胎同路面间存在的附着作用来产生驱动力和制动力，对汽车的行驶安全性起着至关重要的作用。为应对车辆在使用过程中爆胎或损坏，进行对轮胎的拆装和检查是从事汽车后服务行业最基本的一项职业技能。通过汽车轮胎拆装与检查技能比赛，有效激发广大同学热爱专业、学好专业技术技能的热情，丰富大学生课余生活，以赛促学，以赛促教，营造良好的技能训练氛围，提升学生的就业素养，培养选拔一批具有高技能素质的人才。</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等线 Light" w:eastAsia="仿宋_GB2312"/>
          <w:b/>
          <w:bCs w:val="0"/>
          <w:sz w:val="28"/>
          <w:szCs w:val="28"/>
        </w:rPr>
      </w:pPr>
      <w:r>
        <w:rPr>
          <w:rFonts w:hint="eastAsia" w:ascii="仿宋_GB2312" w:hAnsi="等线 Light" w:eastAsia="仿宋_GB2312"/>
          <w:b/>
          <w:bCs w:val="0"/>
          <w:sz w:val="28"/>
          <w:szCs w:val="28"/>
          <w:lang w:eastAsia="zh-CN"/>
        </w:rPr>
        <w:t>二、</w:t>
      </w:r>
      <w:r>
        <w:rPr>
          <w:rFonts w:hint="eastAsia" w:ascii="仿宋_GB2312" w:hAnsi="等线 Light" w:eastAsia="仿宋_GB2312"/>
          <w:b/>
          <w:bCs w:val="0"/>
          <w:sz w:val="28"/>
          <w:szCs w:val="28"/>
        </w:rPr>
        <w:t>组织机构与主要职责</w:t>
      </w:r>
    </w:p>
    <w:p>
      <w:pPr>
        <w:pStyle w:val="4"/>
        <w:shd w:val="clear" w:color="auto" w:fill="FFFFFF"/>
        <w:spacing w:before="0" w:after="0" w:line="360" w:lineRule="auto"/>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主任：</w:t>
      </w:r>
      <w:r>
        <w:rPr>
          <w:rFonts w:hint="eastAsia" w:ascii="楷体_GB2312" w:hAnsi="楷体_GB2312" w:eastAsia="楷体_GB2312" w:cs="楷体_GB2312"/>
          <w:sz w:val="24"/>
          <w:szCs w:val="24"/>
          <w:lang w:eastAsia="zh-CN"/>
        </w:rPr>
        <w:t>陈立旦</w:t>
      </w:r>
      <w:r>
        <w:rPr>
          <w:rFonts w:hint="eastAsia" w:ascii="楷体_GB2312" w:hAnsi="楷体_GB2312" w:eastAsia="楷体_GB2312" w:cs="楷体_GB2312"/>
          <w:sz w:val="24"/>
          <w:szCs w:val="24"/>
        </w:rPr>
        <w:t xml:space="preserve">       (工作职责:全面负责大赛的各项工作。)</w:t>
      </w:r>
    </w:p>
    <w:p>
      <w:pPr>
        <w:pStyle w:val="4"/>
        <w:shd w:val="clear" w:color="auto" w:fill="FFFFFF"/>
        <w:spacing w:before="0" w:after="0" w:line="360" w:lineRule="auto"/>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副主任：</w:t>
      </w:r>
      <w:r>
        <w:rPr>
          <w:rFonts w:hint="eastAsia" w:ascii="楷体_GB2312" w:hAnsi="楷体_GB2312" w:eastAsia="楷体_GB2312" w:cs="楷体_GB2312"/>
          <w:sz w:val="24"/>
          <w:szCs w:val="24"/>
          <w:lang w:eastAsia="zh-CN"/>
        </w:rPr>
        <w:t>冯勇</w:t>
      </w:r>
      <w:r>
        <w:rPr>
          <w:rFonts w:hint="eastAsia" w:ascii="楷体_GB2312" w:hAnsi="楷体_GB2312" w:eastAsia="楷体_GB2312" w:cs="楷体_GB2312"/>
          <w:sz w:val="24"/>
          <w:szCs w:val="24"/>
        </w:rPr>
        <w:t xml:space="preserve">       (工作职责:负责技术文件、竞赛规程、评分标准制定，命题与竞赛评审等事宜。)</w:t>
      </w:r>
    </w:p>
    <w:p>
      <w:pPr>
        <w:pStyle w:val="4"/>
        <w:shd w:val="clear" w:color="auto" w:fill="FFFFFF"/>
        <w:spacing w:before="0" w:after="0" w:line="360" w:lineRule="auto"/>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秘书长：</w:t>
      </w:r>
      <w:r>
        <w:rPr>
          <w:rFonts w:hint="eastAsia" w:ascii="楷体_GB2312" w:hAnsi="楷体_GB2312" w:eastAsia="楷体_GB2312" w:cs="楷体_GB2312"/>
          <w:sz w:val="24"/>
          <w:szCs w:val="24"/>
          <w:lang w:eastAsia="zh-CN"/>
        </w:rPr>
        <w:t>沈国盛</w:t>
      </w:r>
      <w:r>
        <w:rPr>
          <w:rFonts w:hint="eastAsia" w:ascii="楷体_GB2312" w:hAnsi="楷体_GB2312" w:eastAsia="楷体_GB2312" w:cs="楷体_GB2312"/>
          <w:sz w:val="24"/>
          <w:szCs w:val="24"/>
        </w:rPr>
        <w:t xml:space="preserve">          (工作职责:负责比赛的报名、赛事协调、成绩公布、竞赛总结、成果展示等事宜。)</w:t>
      </w:r>
    </w:p>
    <w:p>
      <w:pPr>
        <w:pStyle w:val="4"/>
        <w:shd w:val="clear" w:color="auto" w:fill="FFFFFF"/>
        <w:spacing w:before="0" w:after="0" w:line="360" w:lineRule="auto"/>
        <w:ind w:firstLine="480" w:firstLineChars="20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rPr>
        <w:t>工作组：</w:t>
      </w:r>
      <w:r>
        <w:rPr>
          <w:rFonts w:hint="eastAsia" w:ascii="楷体_GB2312" w:hAnsi="楷体_GB2312" w:eastAsia="楷体_GB2312" w:cs="楷体_GB2312"/>
          <w:sz w:val="24"/>
          <w:szCs w:val="24"/>
          <w:lang w:eastAsia="zh-CN"/>
        </w:rPr>
        <w:t>冯勇</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邵光俭</w:t>
      </w:r>
      <w:r>
        <w:rPr>
          <w:rFonts w:hint="eastAsia" w:ascii="楷体_GB2312" w:hAnsi="楷体_GB2312" w:eastAsia="楷体_GB2312" w:cs="楷体_GB2312"/>
          <w:sz w:val="24"/>
          <w:szCs w:val="24"/>
          <w:lang w:val="en-US" w:eastAsia="zh-CN"/>
        </w:rPr>
        <w:t xml:space="preserve"> 沈伟杰 沈国盛 费鑫</w:t>
      </w:r>
    </w:p>
    <w:p>
      <w:pPr>
        <w:pStyle w:val="4"/>
        <w:shd w:val="clear" w:color="auto" w:fill="FFFFFF"/>
        <w:spacing w:before="0" w:after="0" w:line="360" w:lineRule="auto"/>
        <w:rPr>
          <w:b/>
          <w:shd w:val="clear" w:color="auto" w:fill="FFFFFF"/>
        </w:rPr>
      </w:pPr>
      <w:r>
        <w:rPr>
          <w:rFonts w:hint="eastAsia" w:ascii="楷体_GB2312" w:hAnsi="楷体_GB2312" w:eastAsia="楷体_GB2312" w:cs="楷体_GB2312"/>
          <w:b/>
          <w:sz w:val="28"/>
          <w:szCs w:val="28"/>
          <w:shd w:val="clear" w:color="auto" w:fill="FFFFFF"/>
        </w:rPr>
        <w:t>三、竞赛内容与方式</w:t>
      </w:r>
    </w:p>
    <w:p>
      <w:pPr>
        <w:spacing w:line="360" w:lineRule="auto"/>
        <w:ind w:firstLine="480" w:firstLineChars="200"/>
        <w:rPr>
          <w:rFonts w:ascii="楷体_GB2312" w:hAnsi="楷体_GB2312" w:eastAsia="楷体_GB2312" w:cs="楷体_GB2312"/>
          <w:color w:val="000000"/>
          <w:sz w:val="24"/>
        </w:rPr>
      </w:pPr>
      <w:r>
        <w:rPr>
          <w:rFonts w:hint="eastAsia" w:ascii="楷体_GB2312" w:hAnsi="楷体_GB2312" w:eastAsia="楷体_GB2312" w:cs="楷体_GB2312"/>
          <w:color w:val="000000"/>
          <w:sz w:val="24"/>
        </w:rPr>
        <w:t>竞赛内容：</w:t>
      </w:r>
      <w:r>
        <w:rPr>
          <w:rFonts w:hint="eastAsia" w:ascii="楷体_GB2312" w:hAnsi="楷体_GB2312" w:eastAsia="楷体_GB2312" w:cs="楷体_GB2312"/>
          <w:sz w:val="24"/>
        </w:rPr>
        <w:t>本次技能比赛暂定上海大众桑塔纳2000轿车，要求学生会熟练使用拆装轮胎专用工具，掌握轮胎拆卸的方法、技术要点和注意事项。</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竞赛方式：比赛现场指定用车，按要求完成轮胎拆装的准备工作，对指定的轮胎进行拆装与检查。</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竞赛要求：在规定的时间内规范完成轮胎的拆卸、安装与检查。（填写比赛规定的表格）。</w:t>
      </w:r>
    </w:p>
    <w:p>
      <w:pPr>
        <w:spacing w:line="36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四、参赛对象</w:t>
      </w:r>
    </w:p>
    <w:p>
      <w:pPr>
        <w:spacing w:line="360" w:lineRule="auto"/>
        <w:ind w:firstLine="420" w:firstLineChars="175"/>
        <w:rPr>
          <w:rFonts w:ascii="楷体_GB2312" w:hAnsi="楷体_GB2312" w:eastAsia="楷体_GB2312" w:cs="楷体_GB2312"/>
          <w:sz w:val="24"/>
        </w:rPr>
      </w:pPr>
      <w:r>
        <w:rPr>
          <w:rFonts w:hint="eastAsia" w:ascii="楷体_GB2312" w:hAnsi="楷体_GB2312" w:eastAsia="楷体_GB2312" w:cs="楷体_GB2312"/>
          <w:sz w:val="24"/>
        </w:rPr>
        <w:t>参赛学生为汽车技术学院各专业大一学生及其他学院有意愿参加的所有学生。</w:t>
      </w:r>
    </w:p>
    <w:p>
      <w:pPr>
        <w:spacing w:line="36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五、竞赛规则</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1.竞赛规则：15分钟内独立完成轮胎拆装与检查并上交单据。</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2.技术标准：见下表1，选手用表见表2所示。</w:t>
      </w:r>
    </w:p>
    <w:p>
      <w:pPr>
        <w:spacing w:line="300" w:lineRule="auto"/>
        <w:ind w:firstLine="480" w:firstLineChars="200"/>
        <w:rPr>
          <w:rFonts w:ascii="宋体" w:cs="宋体"/>
          <w:sz w:val="24"/>
        </w:rPr>
      </w:pPr>
    </w:p>
    <w:p>
      <w:pPr>
        <w:spacing w:line="300" w:lineRule="auto"/>
        <w:ind w:firstLine="480" w:firstLineChars="200"/>
        <w:rPr>
          <w:rFonts w:ascii="宋体" w:cs="宋体"/>
          <w:sz w:val="24"/>
        </w:rPr>
      </w:pPr>
    </w:p>
    <w:p>
      <w:pPr>
        <w:spacing w:line="300" w:lineRule="auto"/>
        <w:rPr>
          <w:rFonts w:ascii="宋体" w:cs="宋体"/>
          <w:sz w:val="24"/>
        </w:rPr>
      </w:pPr>
    </w:p>
    <w:p>
      <w:pPr>
        <w:spacing w:line="300" w:lineRule="auto"/>
        <w:ind w:firstLine="480" w:firstLineChars="200"/>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表1 轮胎拆装比赛技术标准</w:t>
      </w:r>
    </w:p>
    <w:tbl>
      <w:tblPr>
        <w:tblStyle w:val="6"/>
        <w:tblW w:w="9733"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588"/>
        <w:gridCol w:w="1060"/>
        <w:gridCol w:w="1440"/>
        <w:gridCol w:w="2300"/>
        <w:gridCol w:w="84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620" w:type="dxa"/>
            <w:gridSpan w:val="2"/>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选手编号</w:t>
            </w:r>
          </w:p>
        </w:tc>
        <w:tc>
          <w:tcPr>
            <w:tcW w:w="1588" w:type="dxa"/>
            <w:vAlign w:val="center"/>
          </w:tcPr>
          <w:p>
            <w:pPr>
              <w:spacing w:line="360" w:lineRule="auto"/>
              <w:jc w:val="center"/>
              <w:rPr>
                <w:rFonts w:ascii="楷体_GB2312" w:hAnsi="楷体_GB2312" w:eastAsia="楷体_GB2312" w:cs="楷体_GB2312"/>
                <w:bCs/>
                <w:sz w:val="24"/>
                <w:szCs w:val="24"/>
              </w:rPr>
            </w:pPr>
          </w:p>
        </w:tc>
        <w:tc>
          <w:tcPr>
            <w:tcW w:w="1060" w:type="dxa"/>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工位号</w:t>
            </w:r>
          </w:p>
        </w:tc>
        <w:tc>
          <w:tcPr>
            <w:tcW w:w="1440" w:type="dxa"/>
            <w:vAlign w:val="center"/>
          </w:tcPr>
          <w:p>
            <w:pPr>
              <w:spacing w:line="360" w:lineRule="auto"/>
              <w:jc w:val="center"/>
              <w:rPr>
                <w:rFonts w:ascii="楷体_GB2312" w:hAnsi="楷体_GB2312" w:eastAsia="楷体_GB2312" w:cs="楷体_GB2312"/>
                <w:bCs/>
                <w:sz w:val="24"/>
                <w:szCs w:val="24"/>
              </w:rPr>
            </w:pPr>
          </w:p>
        </w:tc>
        <w:tc>
          <w:tcPr>
            <w:tcW w:w="2300" w:type="dxa"/>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总分</w:t>
            </w:r>
          </w:p>
        </w:tc>
        <w:tc>
          <w:tcPr>
            <w:tcW w:w="1725" w:type="dxa"/>
            <w:gridSpan w:val="2"/>
            <w:vAlign w:val="center"/>
          </w:tcPr>
          <w:p>
            <w:pPr>
              <w:spacing w:line="360" w:lineRule="auto"/>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Align w:val="center"/>
          </w:tcPr>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序号</w:t>
            </w:r>
          </w:p>
        </w:tc>
        <w:tc>
          <w:tcPr>
            <w:tcW w:w="1080" w:type="dxa"/>
            <w:vAlign w:val="center"/>
          </w:tcPr>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作业</w:t>
            </w:r>
          </w:p>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项目</w:t>
            </w:r>
          </w:p>
        </w:tc>
        <w:tc>
          <w:tcPr>
            <w:tcW w:w="6388" w:type="dxa"/>
            <w:gridSpan w:val="4"/>
            <w:vAlign w:val="center"/>
          </w:tcPr>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评分标准</w:t>
            </w:r>
          </w:p>
        </w:tc>
        <w:tc>
          <w:tcPr>
            <w:tcW w:w="844" w:type="dxa"/>
            <w:vAlign w:val="center"/>
          </w:tcPr>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扣分</w:t>
            </w:r>
          </w:p>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情况</w:t>
            </w:r>
          </w:p>
        </w:tc>
        <w:tc>
          <w:tcPr>
            <w:tcW w:w="881" w:type="dxa"/>
            <w:vAlign w:val="center"/>
          </w:tcPr>
          <w:p>
            <w:pPr>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54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1</w:t>
            </w:r>
          </w:p>
        </w:tc>
        <w:tc>
          <w:tcPr>
            <w:tcW w:w="108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准备及安全</w:t>
            </w: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赛前工具检查（</w:t>
            </w:r>
            <w:r>
              <w:rPr>
                <w:rFonts w:hint="eastAsia" w:ascii="楷体_GB2312" w:hAnsi="楷体_GB2312" w:eastAsia="楷体_GB2312" w:cs="楷体_GB2312"/>
                <w:kern w:val="0"/>
                <w:sz w:val="24"/>
                <w:szCs w:val="24"/>
              </w:rPr>
              <w:t>千斤顶、手套、三角块、轮胎拆卸专用套筒）</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restart"/>
          </w:tcPr>
          <w:p>
            <w:pPr>
              <w:spacing w:line="360" w:lineRule="auto"/>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ind w:left="120" w:hanging="120" w:hangingChars="5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拉起车辆手制动</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ind w:left="120" w:hanging="120" w:hangingChars="5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开启危险警报灯</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车子靠近路边停车，开启危险警报灯，设置危险警告牌</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ind w:left="120" w:hanging="120" w:hangingChars="5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用三角块夹在车辆前后</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检查车辆固定和周围安全情况</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2</w:t>
            </w:r>
          </w:p>
        </w:tc>
        <w:tc>
          <w:tcPr>
            <w:tcW w:w="108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拆卸与检查</w:t>
            </w: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直接顶起车辆松轮胎螺栓</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restart"/>
          </w:tcPr>
          <w:p>
            <w:pPr>
              <w:spacing w:line="360" w:lineRule="auto"/>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对角拧松轮胎螺丝一圈</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用千斤顶顶起车轮前，放稳千斤顶</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找准车辆起顶位置</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千斤顶将车轮顶离地面后，拿下千斤顶手柄</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用套筒对角拧下轮胎螺丝，并拿下轮胎</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把拆下的轮胎在第一时间塞到所拆轮胎的车桥下</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3</w:t>
            </w:r>
          </w:p>
        </w:tc>
        <w:tc>
          <w:tcPr>
            <w:tcW w:w="108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安装与检查</w:t>
            </w: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对拆下的轮胎外表面进行检查，检查内容为有无裂纹、夹杂物，花纹是否磨损过度，轮胎气嘴、轮胎气压、轮胎螺栓，具体见记录表等</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restart"/>
          </w:tcPr>
          <w:p>
            <w:pPr>
              <w:spacing w:line="360" w:lineRule="auto"/>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用手预紧轮胎螺丝</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使用套筒对螺丝进行对角紧固，直到带动轮胎转动为止</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快速放下千斤顶</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kern w:val="0"/>
                <w:sz w:val="24"/>
                <w:szCs w:val="24"/>
              </w:rPr>
              <w:t>车辆放下后未对车辆再使用套筒对轮胎螺丝对角拧紧</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widowControl/>
              <w:spacing w:line="360" w:lineRule="auto"/>
              <w:jc w:val="left"/>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检查并确认轮胎最后安装，进行工具整理的（拿开千斤顶、三角块，并放回工具）</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restart"/>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4</w:t>
            </w:r>
          </w:p>
        </w:tc>
        <w:tc>
          <w:tcPr>
            <w:tcW w:w="1080" w:type="dxa"/>
            <w:vMerge w:val="restart"/>
            <w:vAlign w:val="center"/>
          </w:tcPr>
          <w:p>
            <w:pPr>
              <w:spacing w:line="360" w:lineRule="auto"/>
              <w:ind w:firstLine="117" w:firstLineChars="49"/>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安全文明生产</w:t>
            </w: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比赛总时间15分钟。</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restart"/>
          </w:tcPr>
          <w:p>
            <w:pPr>
              <w:spacing w:line="360" w:lineRule="auto"/>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540" w:type="dxa"/>
            <w:vMerge w:val="continue"/>
            <w:vAlign w:val="center"/>
          </w:tcPr>
          <w:p>
            <w:pPr>
              <w:spacing w:line="360" w:lineRule="auto"/>
              <w:rPr>
                <w:rFonts w:ascii="楷体_GB2312" w:hAnsi="楷体_GB2312" w:eastAsia="楷体_GB2312" w:cs="楷体_GB2312"/>
                <w:sz w:val="24"/>
                <w:szCs w:val="24"/>
              </w:rPr>
            </w:pPr>
          </w:p>
        </w:tc>
        <w:tc>
          <w:tcPr>
            <w:tcW w:w="1080" w:type="dxa"/>
            <w:vMerge w:val="continue"/>
            <w:vAlign w:val="center"/>
          </w:tcPr>
          <w:p>
            <w:pPr>
              <w:spacing w:line="360" w:lineRule="auto"/>
              <w:rPr>
                <w:rFonts w:ascii="楷体_GB2312" w:hAnsi="楷体_GB2312" w:eastAsia="楷体_GB2312" w:cs="楷体_GB2312"/>
                <w:sz w:val="24"/>
                <w:szCs w:val="24"/>
              </w:rPr>
            </w:pPr>
          </w:p>
        </w:tc>
        <w:tc>
          <w:tcPr>
            <w:tcW w:w="6388" w:type="dxa"/>
            <w:gridSpan w:val="4"/>
          </w:tcPr>
          <w:p>
            <w:pPr>
              <w:pStyle w:val="7"/>
              <w:widowControl/>
              <w:spacing w:line="360" w:lineRule="auto"/>
              <w:ind w:firstLine="0" w:firstLineChars="0"/>
              <w:jc w:val="left"/>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因违规操作造成人身和设备事故的，总分按0分记</w:t>
            </w:r>
          </w:p>
        </w:tc>
        <w:tc>
          <w:tcPr>
            <w:tcW w:w="844" w:type="dxa"/>
          </w:tcPr>
          <w:p>
            <w:pPr>
              <w:spacing w:line="360" w:lineRule="auto"/>
              <w:jc w:val="center"/>
              <w:rPr>
                <w:rFonts w:ascii="楷体_GB2312" w:hAnsi="楷体_GB2312" w:eastAsia="楷体_GB2312" w:cs="楷体_GB2312"/>
                <w:bCs/>
                <w:sz w:val="24"/>
                <w:szCs w:val="24"/>
              </w:rPr>
            </w:pPr>
          </w:p>
        </w:tc>
        <w:tc>
          <w:tcPr>
            <w:tcW w:w="881" w:type="dxa"/>
            <w:vMerge w:val="continue"/>
          </w:tcPr>
          <w:p>
            <w:pPr>
              <w:spacing w:line="360" w:lineRule="auto"/>
              <w:rPr>
                <w:rFonts w:ascii="楷体_GB2312" w:hAnsi="楷体_GB2312" w:eastAsia="楷体_GB2312" w:cs="楷体_GB2312"/>
                <w:sz w:val="24"/>
                <w:szCs w:val="24"/>
              </w:rPr>
            </w:pPr>
          </w:p>
        </w:tc>
      </w:tr>
    </w:tbl>
    <w:p>
      <w:pPr>
        <w:spacing w:line="300" w:lineRule="auto"/>
        <w:ind w:firstLine="480" w:firstLineChars="200"/>
        <w:jc w:val="center"/>
        <w:rPr>
          <w:rFonts w:ascii="楷体_GB2312" w:hAnsi="楷体_GB2312" w:eastAsia="楷体_GB2312" w:cs="楷体_GB2312"/>
          <w:sz w:val="24"/>
          <w:szCs w:val="24"/>
        </w:rPr>
      </w:pPr>
    </w:p>
    <w:p>
      <w:pPr>
        <w:spacing w:line="300" w:lineRule="auto"/>
        <w:ind w:firstLine="480" w:firstLineChars="200"/>
        <w:jc w:val="center"/>
        <w:rPr>
          <w:rFonts w:ascii="楷体_GB2312" w:hAnsi="楷体_GB2312" w:eastAsia="楷体_GB2312" w:cs="楷体_GB2312"/>
          <w:sz w:val="24"/>
          <w:szCs w:val="24"/>
        </w:rPr>
      </w:pPr>
    </w:p>
    <w:p>
      <w:pPr>
        <w:spacing w:line="300" w:lineRule="auto"/>
        <w:ind w:firstLine="480" w:firstLineChars="200"/>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表2 选手用记录表</w:t>
      </w:r>
    </w:p>
    <w:tbl>
      <w:tblPr>
        <w:tblStyle w:val="6"/>
        <w:tblW w:w="9765" w:type="dxa"/>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1185"/>
        <w:gridCol w:w="1185"/>
        <w:gridCol w:w="783"/>
        <w:gridCol w:w="402"/>
        <w:gridCol w:w="1188"/>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选手号</w:t>
            </w:r>
          </w:p>
        </w:tc>
        <w:tc>
          <w:tcPr>
            <w:tcW w:w="3153" w:type="dxa"/>
            <w:gridSpan w:val="3"/>
          </w:tcPr>
          <w:p>
            <w:pPr>
              <w:spacing w:line="360" w:lineRule="auto"/>
              <w:rPr>
                <w:rFonts w:ascii="楷体_GB2312" w:hAnsi="楷体_GB2312" w:eastAsia="楷体_GB2312" w:cs="楷体_GB2312"/>
                <w:b/>
                <w:sz w:val="24"/>
                <w:szCs w:val="24"/>
              </w:rPr>
            </w:pPr>
          </w:p>
        </w:tc>
        <w:tc>
          <w:tcPr>
            <w:tcW w:w="1590" w:type="dxa"/>
            <w:gridSpan w:val="2"/>
            <w:vAlign w:val="center"/>
          </w:tcPr>
          <w:p>
            <w:pPr>
              <w:spacing w:line="360" w:lineRule="auto"/>
              <w:jc w:val="center"/>
              <w:rPr>
                <w:rFonts w:ascii="楷体_GB2312" w:hAnsi="楷体_GB2312" w:eastAsia="楷体_GB2312" w:cs="楷体_GB2312"/>
                <w:bCs/>
                <w:sz w:val="24"/>
                <w:szCs w:val="24"/>
              </w:rPr>
            </w:pPr>
            <w:r>
              <w:rPr>
                <w:rFonts w:hint="eastAsia" w:ascii="楷体_GB2312" w:hAnsi="楷体_GB2312" w:eastAsia="楷体_GB2312" w:cs="楷体_GB2312"/>
                <w:bCs/>
                <w:sz w:val="24"/>
                <w:szCs w:val="24"/>
              </w:rPr>
              <w:t>工位号</w:t>
            </w: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轮胎型号</w:t>
            </w:r>
          </w:p>
        </w:tc>
        <w:tc>
          <w:tcPr>
            <w:tcW w:w="4743" w:type="dxa"/>
            <w:gridSpan w:val="5"/>
            <w:vAlign w:val="center"/>
          </w:tcPr>
          <w:p>
            <w:pPr>
              <w:spacing w:line="360" w:lineRule="auto"/>
              <w:rPr>
                <w:rFonts w:ascii="楷体_GB2312" w:hAnsi="楷体_GB2312" w:eastAsia="楷体_GB2312" w:cs="楷体_GB2312"/>
                <w:b/>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额定气压</w:t>
            </w:r>
          </w:p>
        </w:tc>
        <w:tc>
          <w:tcPr>
            <w:tcW w:w="4743" w:type="dxa"/>
            <w:gridSpan w:val="5"/>
            <w:vAlign w:val="center"/>
          </w:tcPr>
          <w:p>
            <w:pPr>
              <w:spacing w:line="360" w:lineRule="auto"/>
              <w:rPr>
                <w:rFonts w:ascii="楷体_GB2312" w:hAnsi="楷体_GB2312" w:eastAsia="楷体_GB2312" w:cs="楷体_GB2312"/>
                <w:b/>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实测气压</w:t>
            </w:r>
          </w:p>
        </w:tc>
        <w:tc>
          <w:tcPr>
            <w:tcW w:w="4743" w:type="dxa"/>
            <w:gridSpan w:val="5"/>
            <w:vAlign w:val="center"/>
          </w:tcPr>
          <w:p>
            <w:pPr>
              <w:spacing w:line="360" w:lineRule="auto"/>
              <w:rPr>
                <w:rFonts w:ascii="楷体_GB2312" w:hAnsi="楷体_GB2312" w:eastAsia="楷体_GB2312" w:cs="楷体_GB2312"/>
                <w:b/>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kern w:val="0"/>
                <w:sz w:val="24"/>
                <w:szCs w:val="24"/>
              </w:rPr>
              <w:t>花纹是否磨损过度</w:t>
            </w:r>
          </w:p>
        </w:tc>
        <w:tc>
          <w:tcPr>
            <w:tcW w:w="4743" w:type="dxa"/>
            <w:gridSpan w:val="5"/>
            <w:vAlign w:val="center"/>
          </w:tcPr>
          <w:p>
            <w:pPr>
              <w:spacing w:line="360" w:lineRule="auto"/>
              <w:rPr>
                <w:rFonts w:ascii="楷体_GB2312" w:hAnsi="楷体_GB2312" w:eastAsia="楷体_GB2312" w:cs="楷体_GB2312"/>
                <w:b/>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裂纹</w:t>
            </w:r>
          </w:p>
        </w:tc>
        <w:tc>
          <w:tcPr>
            <w:tcW w:w="1185"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有</w:t>
            </w:r>
          </w:p>
        </w:tc>
        <w:tc>
          <w:tcPr>
            <w:tcW w:w="1185" w:type="dxa"/>
            <w:vAlign w:val="center"/>
          </w:tcPr>
          <w:p>
            <w:pPr>
              <w:spacing w:line="360" w:lineRule="auto"/>
              <w:rPr>
                <w:rFonts w:ascii="楷体_GB2312" w:hAnsi="楷体_GB2312" w:eastAsia="楷体_GB2312" w:cs="楷体_GB2312"/>
                <w:sz w:val="24"/>
                <w:szCs w:val="24"/>
              </w:rPr>
            </w:pPr>
          </w:p>
        </w:tc>
        <w:tc>
          <w:tcPr>
            <w:tcW w:w="1185" w:type="dxa"/>
            <w:gridSpan w:val="2"/>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没有</w:t>
            </w:r>
          </w:p>
        </w:tc>
        <w:tc>
          <w:tcPr>
            <w:tcW w:w="1188" w:type="dxa"/>
            <w:vAlign w:val="center"/>
          </w:tcPr>
          <w:p>
            <w:pPr>
              <w:spacing w:line="360" w:lineRule="auto"/>
              <w:rPr>
                <w:rFonts w:ascii="楷体_GB2312" w:hAnsi="楷体_GB2312" w:eastAsia="楷体_GB2312" w:cs="楷体_GB2312"/>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夹杂物</w:t>
            </w:r>
          </w:p>
        </w:tc>
        <w:tc>
          <w:tcPr>
            <w:tcW w:w="1185"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有</w:t>
            </w:r>
          </w:p>
        </w:tc>
        <w:tc>
          <w:tcPr>
            <w:tcW w:w="1185" w:type="dxa"/>
            <w:vAlign w:val="center"/>
          </w:tcPr>
          <w:p>
            <w:pPr>
              <w:spacing w:line="360" w:lineRule="auto"/>
              <w:rPr>
                <w:rFonts w:ascii="楷体_GB2312" w:hAnsi="楷体_GB2312" w:eastAsia="楷体_GB2312" w:cs="楷体_GB2312"/>
                <w:sz w:val="24"/>
                <w:szCs w:val="24"/>
              </w:rPr>
            </w:pPr>
          </w:p>
        </w:tc>
        <w:tc>
          <w:tcPr>
            <w:tcW w:w="1185" w:type="dxa"/>
            <w:gridSpan w:val="2"/>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没有</w:t>
            </w:r>
          </w:p>
        </w:tc>
        <w:tc>
          <w:tcPr>
            <w:tcW w:w="1188" w:type="dxa"/>
            <w:vAlign w:val="center"/>
          </w:tcPr>
          <w:p>
            <w:pPr>
              <w:spacing w:line="360" w:lineRule="auto"/>
              <w:rPr>
                <w:rFonts w:ascii="楷体_GB2312" w:hAnsi="楷体_GB2312" w:eastAsia="楷体_GB2312" w:cs="楷体_GB2312"/>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kern w:val="0"/>
                <w:sz w:val="24"/>
                <w:szCs w:val="24"/>
              </w:rPr>
              <w:t>轮胎气嘴</w:t>
            </w:r>
          </w:p>
        </w:tc>
        <w:tc>
          <w:tcPr>
            <w:tcW w:w="1185"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正常</w:t>
            </w:r>
          </w:p>
        </w:tc>
        <w:tc>
          <w:tcPr>
            <w:tcW w:w="1185" w:type="dxa"/>
            <w:vAlign w:val="center"/>
          </w:tcPr>
          <w:p>
            <w:pPr>
              <w:spacing w:line="360" w:lineRule="auto"/>
              <w:rPr>
                <w:rFonts w:ascii="楷体_GB2312" w:hAnsi="楷体_GB2312" w:eastAsia="楷体_GB2312" w:cs="楷体_GB2312"/>
                <w:sz w:val="24"/>
                <w:szCs w:val="24"/>
              </w:rPr>
            </w:pPr>
          </w:p>
        </w:tc>
        <w:tc>
          <w:tcPr>
            <w:tcW w:w="1185" w:type="dxa"/>
            <w:gridSpan w:val="2"/>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不正常</w:t>
            </w:r>
          </w:p>
        </w:tc>
        <w:tc>
          <w:tcPr>
            <w:tcW w:w="1188" w:type="dxa"/>
            <w:vAlign w:val="center"/>
          </w:tcPr>
          <w:p>
            <w:pPr>
              <w:spacing w:line="360" w:lineRule="auto"/>
              <w:rPr>
                <w:rFonts w:ascii="楷体_GB2312" w:hAnsi="楷体_GB2312" w:eastAsia="楷体_GB2312" w:cs="楷体_GB2312"/>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7" w:type="dxa"/>
            <w:vAlign w:val="center"/>
          </w:tcPr>
          <w:p>
            <w:pPr>
              <w:spacing w:line="360" w:lineRule="auto"/>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轮胎螺栓</w:t>
            </w:r>
          </w:p>
        </w:tc>
        <w:tc>
          <w:tcPr>
            <w:tcW w:w="1185" w:type="dxa"/>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正常</w:t>
            </w:r>
          </w:p>
        </w:tc>
        <w:tc>
          <w:tcPr>
            <w:tcW w:w="1185" w:type="dxa"/>
            <w:vAlign w:val="center"/>
          </w:tcPr>
          <w:p>
            <w:pPr>
              <w:spacing w:line="360" w:lineRule="auto"/>
              <w:rPr>
                <w:rFonts w:ascii="楷体_GB2312" w:hAnsi="楷体_GB2312" w:eastAsia="楷体_GB2312" w:cs="楷体_GB2312"/>
                <w:sz w:val="24"/>
                <w:szCs w:val="24"/>
              </w:rPr>
            </w:pPr>
          </w:p>
        </w:tc>
        <w:tc>
          <w:tcPr>
            <w:tcW w:w="1185" w:type="dxa"/>
            <w:gridSpan w:val="2"/>
            <w:vAlign w:val="center"/>
          </w:tcPr>
          <w:p>
            <w:pPr>
              <w:spacing w:line="360" w:lineRule="auto"/>
              <w:rPr>
                <w:rFonts w:ascii="楷体_GB2312" w:hAnsi="楷体_GB2312" w:eastAsia="楷体_GB2312" w:cs="楷体_GB2312"/>
                <w:sz w:val="24"/>
                <w:szCs w:val="24"/>
              </w:rPr>
            </w:pPr>
            <w:r>
              <w:rPr>
                <w:rFonts w:hint="eastAsia" w:ascii="楷体_GB2312" w:hAnsi="楷体_GB2312" w:eastAsia="楷体_GB2312" w:cs="楷体_GB2312"/>
                <w:sz w:val="24"/>
                <w:szCs w:val="24"/>
              </w:rPr>
              <w:t>不正常</w:t>
            </w:r>
          </w:p>
        </w:tc>
        <w:tc>
          <w:tcPr>
            <w:tcW w:w="1188" w:type="dxa"/>
            <w:vAlign w:val="center"/>
          </w:tcPr>
          <w:p>
            <w:pPr>
              <w:spacing w:line="360" w:lineRule="auto"/>
              <w:rPr>
                <w:rFonts w:ascii="楷体_GB2312" w:hAnsi="楷体_GB2312" w:eastAsia="楷体_GB2312" w:cs="楷体_GB2312"/>
                <w:sz w:val="24"/>
                <w:szCs w:val="24"/>
              </w:rPr>
            </w:pPr>
          </w:p>
        </w:tc>
        <w:tc>
          <w:tcPr>
            <w:tcW w:w="2085" w:type="dxa"/>
            <w:vAlign w:val="center"/>
          </w:tcPr>
          <w:p>
            <w:pPr>
              <w:spacing w:line="360" w:lineRule="auto"/>
              <w:rPr>
                <w:rFonts w:ascii="楷体_GB2312" w:hAnsi="楷体_GB2312" w:eastAsia="楷体_GB2312" w:cs="楷体_GB2312"/>
                <w:b/>
                <w:sz w:val="24"/>
                <w:szCs w:val="24"/>
              </w:rPr>
            </w:pPr>
          </w:p>
        </w:tc>
      </w:tr>
    </w:tbl>
    <w:p>
      <w:pPr>
        <w:spacing w:line="300" w:lineRule="auto"/>
        <w:ind w:firstLine="480" w:firstLineChars="200"/>
        <w:jc w:val="center"/>
        <w:rPr>
          <w:rFonts w:ascii="宋体" w:cs="宋体"/>
          <w:sz w:val="24"/>
        </w:rPr>
      </w:pPr>
    </w:p>
    <w:p>
      <w:pPr>
        <w:spacing w:line="300" w:lineRule="auto"/>
        <w:ind w:firstLine="480" w:firstLineChars="200"/>
        <w:rPr>
          <w:rFonts w:ascii="宋体" w:cs="宋体"/>
          <w:sz w:val="24"/>
        </w:rPr>
      </w:pPr>
    </w:p>
    <w:p>
      <w:pPr>
        <w:numPr>
          <w:ilvl w:val="0"/>
          <w:numId w:val="1"/>
        </w:numPr>
        <w:spacing w:line="36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竞赛安排</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1、培训时间</w:t>
      </w:r>
    </w:p>
    <w:p>
      <w:pPr>
        <w:spacing w:line="360" w:lineRule="auto"/>
        <w:rPr>
          <w:rFonts w:ascii="楷体_GB2312" w:hAnsi="楷体_GB2312" w:eastAsia="楷体_GB2312" w:cs="楷体_GB2312"/>
          <w:sz w:val="24"/>
        </w:rPr>
      </w:pPr>
      <w:r>
        <w:rPr>
          <w:rFonts w:hint="eastAsia" w:ascii="楷体_GB2312" w:hAnsi="楷体_GB2312" w:eastAsia="楷体_GB2312" w:cs="楷体_GB2312"/>
          <w:sz w:val="24"/>
        </w:rPr>
        <w:t xml:space="preserve">    11月20日下午13:30-16:30</w:t>
      </w:r>
    </w:p>
    <w:p>
      <w:pPr>
        <w:spacing w:line="360" w:lineRule="auto"/>
        <w:ind w:firstLine="480" w:firstLineChars="200"/>
        <w:rPr>
          <w:rFonts w:ascii="宋体" w:cs="宋体"/>
          <w:sz w:val="24"/>
        </w:rPr>
      </w:pPr>
      <w:r>
        <w:rPr>
          <w:rFonts w:hint="eastAsia" w:ascii="楷体_GB2312" w:hAnsi="楷体_GB2312" w:eastAsia="楷体_GB2312" w:cs="楷体_GB2312"/>
          <w:sz w:val="24"/>
        </w:rPr>
        <w:t>2、竞赛时间：</w:t>
      </w:r>
    </w:p>
    <w:p>
      <w:pPr>
        <w:spacing w:line="360" w:lineRule="auto"/>
        <w:ind w:firstLine="480"/>
        <w:rPr>
          <w:rFonts w:ascii="宋体" w:cs="宋体"/>
          <w:sz w:val="24"/>
        </w:rPr>
      </w:pPr>
      <w:r>
        <w:rPr>
          <w:rFonts w:hint="eastAsia" w:ascii="楷体_GB2312" w:hAnsi="楷体_GB2312" w:eastAsia="楷体_GB2312" w:cs="楷体_GB2312"/>
          <w:sz w:val="24"/>
        </w:rPr>
        <w:t>11月27日（周二）  13：30――17：30</w:t>
      </w:r>
    </w:p>
    <w:p>
      <w:pPr>
        <w:spacing w:line="360" w:lineRule="auto"/>
        <w:ind w:firstLine="480" w:firstLineChars="200"/>
        <w:rPr>
          <w:rFonts w:ascii="宋体" w:cs="宋体"/>
          <w:sz w:val="24"/>
        </w:rPr>
      </w:pPr>
      <w:r>
        <w:rPr>
          <w:rFonts w:hint="eastAsia" w:ascii="楷体_GB2312" w:hAnsi="楷体_GB2312" w:eastAsia="楷体_GB2312" w:cs="楷体_GB2312"/>
          <w:sz w:val="24"/>
        </w:rPr>
        <w:t>3、竞赛场地：</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地点：汽车实训基地汽车检修综合车间</w:t>
      </w:r>
    </w:p>
    <w:p>
      <w:pPr>
        <w:spacing w:line="360" w:lineRule="auto"/>
        <w:ind w:firstLine="480" w:firstLineChars="200"/>
        <w:rPr>
          <w:rFonts w:ascii="宋体" w:cs="宋体"/>
          <w:sz w:val="24"/>
        </w:rPr>
      </w:pPr>
      <w:r>
        <w:rPr>
          <w:rFonts w:hint="eastAsia" w:ascii="楷体_GB2312" w:hAnsi="楷体_GB2312" w:eastAsia="楷体_GB2312" w:cs="楷体_GB2312"/>
          <w:sz w:val="24"/>
        </w:rPr>
        <w:t>4、注意事项：</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1）参赛选手携带学生证或身份证，严禁请他人代替参赛，一经发现，取消比赛资格，成绩作废。</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2）参赛选手在预定等候区等待，根据抽签顺序及抽签车位，由现场工作人员引导入场，按指定车位参与比赛，迟到者，取消比赛资格。</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3）比赛过程中由于误操作导致重大安全事故，取消比赛资格。</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4）其他不可抗拒因素由赛场裁判员做出判定。</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5）参赛选手应严格遵守竞赛规则，文明比赛，服从裁判人员的安排。若在比赛中途停止比赛，由工作人员引导经指定路线离开比赛现场。</w:t>
      </w:r>
    </w:p>
    <w:p>
      <w:pPr>
        <w:spacing w:line="360" w:lineRule="auto"/>
        <w:ind w:firstLine="470" w:firstLineChars="196"/>
        <w:rPr>
          <w:rFonts w:ascii="楷体_GB2312" w:hAnsi="楷体_GB2312" w:eastAsia="楷体_GB2312" w:cs="楷体_GB2312"/>
          <w:sz w:val="24"/>
        </w:rPr>
      </w:pPr>
      <w:r>
        <w:rPr>
          <w:rFonts w:hint="eastAsia" w:ascii="楷体_GB2312" w:hAnsi="楷体_GB2312" w:eastAsia="楷体_GB2312" w:cs="楷体_GB2312"/>
          <w:sz w:val="24"/>
        </w:rPr>
        <w:t>6）比赛时间结束，所有选手必须停止工作，提交比赛作业单，在工作人员引导下退出比赛地点，不得逗留。</w:t>
      </w:r>
    </w:p>
    <w:p>
      <w:pPr>
        <w:spacing w:line="360" w:lineRule="auto"/>
        <w:ind w:firstLine="480" w:firstLineChars="200"/>
        <w:rPr>
          <w:rFonts w:ascii="楷体_GB2312" w:hAnsi="楷体_GB2312" w:eastAsia="楷体_GB2312" w:cs="楷体_GB2312"/>
          <w:sz w:val="24"/>
        </w:rPr>
      </w:pPr>
      <w:r>
        <w:rPr>
          <w:rFonts w:hint="eastAsia" w:ascii="楷体_GB2312" w:hAnsi="楷体_GB2312" w:eastAsia="楷体_GB2312" w:cs="楷体_GB2312"/>
          <w:sz w:val="24"/>
        </w:rPr>
        <w:t>7）不服从赛场裁判员指挥，扰乱赛场秩序，干扰其他参赛选手比赛，警告后拒绝服从的参赛选手，取消其相关参赛选手的参赛资格和比赛成绩。</w:t>
      </w:r>
    </w:p>
    <w:p>
      <w:pPr>
        <w:spacing w:line="360" w:lineRule="auto"/>
        <w:rPr>
          <w:rFonts w:ascii="宋体" w:cs="宋体"/>
          <w:b/>
          <w:sz w:val="28"/>
          <w:szCs w:val="28"/>
        </w:rPr>
      </w:pPr>
      <w:r>
        <w:rPr>
          <w:rFonts w:hint="eastAsia" w:ascii="楷体_GB2312" w:hAnsi="楷体_GB2312" w:eastAsia="楷体_GB2312" w:cs="楷体_GB2312"/>
          <w:b/>
          <w:sz w:val="28"/>
          <w:szCs w:val="28"/>
        </w:rPr>
        <w:t>七、奖项设置</w:t>
      </w:r>
    </w:p>
    <w:p>
      <w:pPr>
        <w:spacing w:line="360" w:lineRule="auto"/>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本次比赛设一等奖、二等奖、三等奖</w:t>
      </w:r>
      <w:r>
        <w:rPr>
          <w:rFonts w:hint="eastAsia" w:ascii="楷体_GB2312" w:hAnsi="楷体_GB2312" w:eastAsia="楷体_GB2312" w:cs="楷体_GB2312"/>
          <w:kern w:val="0"/>
          <w:sz w:val="24"/>
          <w:szCs w:val="24"/>
        </w:rPr>
        <w:t>、鼓励奖等四个奖项。每个等级的获奖人数和奖励内容见下表</w:t>
      </w:r>
      <w:r>
        <w:rPr>
          <w:rFonts w:hint="eastAsia" w:ascii="楷体_GB2312" w:hAnsi="楷体_GB2312" w:eastAsia="楷体_GB2312" w:cs="楷体_GB2312"/>
          <w:sz w:val="24"/>
          <w:szCs w:val="24"/>
        </w:rPr>
        <w:t>，并由分院统一颁发证书并进行颁奖，奖金另定。</w:t>
      </w:r>
    </w:p>
    <w:p>
      <w:pPr>
        <w:spacing w:line="360" w:lineRule="auto"/>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奖项设置按参赛人数计发奖项：一等奖5%、二等奖10%、三等奖15%。</w:t>
      </w:r>
    </w:p>
    <w:tbl>
      <w:tblPr>
        <w:tblStyle w:val="6"/>
        <w:tblpPr w:leftFromText="180" w:rightFromText="180" w:vertAnchor="text" w:horzAnchor="margin" w:tblpXSpec="center" w:tblpY="314"/>
        <w:tblW w:w="6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序号</w:t>
            </w:r>
          </w:p>
        </w:tc>
        <w:tc>
          <w:tcPr>
            <w:tcW w:w="2252"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奖项</w:t>
            </w:r>
          </w:p>
        </w:tc>
        <w:tc>
          <w:tcPr>
            <w:tcW w:w="1704"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人数</w:t>
            </w:r>
          </w:p>
        </w:tc>
        <w:tc>
          <w:tcPr>
            <w:tcW w:w="1705"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素质分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w:t>
            </w:r>
          </w:p>
        </w:tc>
        <w:tc>
          <w:tcPr>
            <w:tcW w:w="2252"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一等奖</w:t>
            </w:r>
          </w:p>
        </w:tc>
        <w:tc>
          <w:tcPr>
            <w:tcW w:w="1704"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sz w:val="24"/>
                <w:szCs w:val="24"/>
              </w:rPr>
              <w:t>5%</w:t>
            </w:r>
          </w:p>
        </w:tc>
        <w:tc>
          <w:tcPr>
            <w:tcW w:w="1705"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w:t>
            </w:r>
          </w:p>
        </w:tc>
        <w:tc>
          <w:tcPr>
            <w:tcW w:w="2252"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二等奖</w:t>
            </w:r>
          </w:p>
        </w:tc>
        <w:tc>
          <w:tcPr>
            <w:tcW w:w="1704"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sz w:val="24"/>
                <w:szCs w:val="24"/>
              </w:rPr>
              <w:t>10%</w:t>
            </w:r>
          </w:p>
        </w:tc>
        <w:tc>
          <w:tcPr>
            <w:tcW w:w="1705"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w:t>
            </w:r>
          </w:p>
        </w:tc>
        <w:tc>
          <w:tcPr>
            <w:tcW w:w="2252"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三等奖</w:t>
            </w:r>
          </w:p>
        </w:tc>
        <w:tc>
          <w:tcPr>
            <w:tcW w:w="1704"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sz w:val="24"/>
                <w:szCs w:val="24"/>
              </w:rPr>
              <w:t>15%</w:t>
            </w:r>
          </w:p>
        </w:tc>
        <w:tc>
          <w:tcPr>
            <w:tcW w:w="1705"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4</w:t>
            </w:r>
          </w:p>
        </w:tc>
        <w:tc>
          <w:tcPr>
            <w:tcW w:w="2252"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鼓励奖</w:t>
            </w:r>
          </w:p>
        </w:tc>
        <w:tc>
          <w:tcPr>
            <w:tcW w:w="1704"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sz w:val="24"/>
                <w:szCs w:val="24"/>
              </w:rPr>
              <w:t>20%</w:t>
            </w:r>
          </w:p>
        </w:tc>
        <w:tc>
          <w:tcPr>
            <w:tcW w:w="1705" w:type="dxa"/>
          </w:tcPr>
          <w:p>
            <w:pPr>
              <w:spacing w:line="360" w:lineRule="auto"/>
              <w:jc w:val="center"/>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w:t>
            </w:r>
          </w:p>
        </w:tc>
      </w:tr>
    </w:tbl>
    <w:p>
      <w:pPr>
        <w:spacing w:line="360" w:lineRule="auto"/>
        <w:ind w:firstLine="480" w:firstLineChars="200"/>
        <w:rPr>
          <w:rFonts w:ascii="楷体_GB2312" w:hAnsi="楷体_GB2312" w:eastAsia="楷体_GB2312" w:cs="楷体_GB2312"/>
          <w:sz w:val="24"/>
          <w:szCs w:val="24"/>
        </w:rPr>
      </w:pPr>
    </w:p>
    <w:p>
      <w:pPr>
        <w:spacing w:line="360" w:lineRule="auto"/>
        <w:ind w:firstLine="480" w:firstLineChars="200"/>
        <w:rPr>
          <w:rFonts w:ascii="楷体_GB2312" w:hAnsi="楷体_GB2312" w:eastAsia="楷体_GB2312" w:cs="楷体_GB2312"/>
          <w:sz w:val="24"/>
          <w:szCs w:val="24"/>
        </w:rPr>
      </w:pPr>
    </w:p>
    <w:p>
      <w:pPr>
        <w:spacing w:line="360" w:lineRule="auto"/>
        <w:rPr>
          <w:rFonts w:ascii="楷体_GB2312" w:hAnsi="楷体_GB2312" w:eastAsia="楷体_GB2312" w:cs="楷体_GB2312"/>
          <w:b/>
          <w:sz w:val="24"/>
          <w:szCs w:val="24"/>
        </w:rPr>
      </w:pPr>
    </w:p>
    <w:p>
      <w:pPr>
        <w:spacing w:line="360" w:lineRule="auto"/>
        <w:rPr>
          <w:rFonts w:ascii="楷体_GB2312" w:hAnsi="楷体_GB2312" w:eastAsia="楷体_GB2312" w:cs="楷体_GB2312"/>
          <w:b/>
          <w:sz w:val="24"/>
          <w:szCs w:val="24"/>
        </w:rPr>
      </w:pPr>
    </w:p>
    <w:p>
      <w:pPr>
        <w:spacing w:line="360" w:lineRule="auto"/>
        <w:rPr>
          <w:rFonts w:ascii="楷体_GB2312" w:hAnsi="楷体_GB2312" w:eastAsia="楷体_GB2312" w:cs="楷体_GB2312"/>
          <w:b/>
          <w:sz w:val="24"/>
          <w:szCs w:val="24"/>
        </w:rPr>
      </w:pPr>
    </w:p>
    <w:p>
      <w:pPr>
        <w:spacing w:line="360" w:lineRule="auto"/>
        <w:rPr>
          <w:rFonts w:ascii="楷体_GB2312" w:hAnsi="楷体_GB2312" w:eastAsia="楷体_GB2312" w:cs="楷体_GB2312"/>
          <w:b/>
          <w:sz w:val="24"/>
          <w:szCs w:val="24"/>
        </w:rPr>
      </w:pPr>
    </w:p>
    <w:p>
      <w:pPr>
        <w:spacing w:line="360" w:lineRule="auto"/>
        <w:ind w:firstLine="480" w:firstLineChars="200"/>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具体以学校素质分章程为准。</w:t>
      </w:r>
    </w:p>
    <w:p>
      <w:pPr>
        <w:spacing w:line="36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八、报名时间及要求</w:t>
      </w:r>
    </w:p>
    <w:p>
      <w:pPr>
        <w:spacing w:line="360" w:lineRule="auto"/>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1、报名时间：11月1日-11月16日 </w:t>
      </w:r>
    </w:p>
    <w:p>
      <w:pPr>
        <w:spacing w:line="360" w:lineRule="auto"/>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2、报名方式：以班级为单位，</w:t>
      </w:r>
      <w:r>
        <w:rPr>
          <w:rFonts w:hint="eastAsia" w:ascii="楷体_GB2312" w:hAnsi="楷体_GB2312" w:eastAsia="楷体_GB2312" w:cs="楷体_GB2312"/>
          <w:color w:val="000000"/>
          <w:sz w:val="24"/>
          <w:szCs w:val="24"/>
        </w:rPr>
        <w:t>将电子稿报名表发送给联系人QQ邮箱(邮件名称格式统一为：轮胎拆装比赛报名表+班级+人数)</w:t>
      </w:r>
      <w:r>
        <w:rPr>
          <w:rFonts w:hint="eastAsia" w:ascii="楷体_GB2312" w:hAnsi="楷体_GB2312" w:eastAsia="楷体_GB2312" w:cs="楷体_GB2312"/>
          <w:sz w:val="24"/>
          <w:szCs w:val="24"/>
        </w:rPr>
        <w:t>。</w:t>
      </w:r>
    </w:p>
    <w:p>
      <w:pPr>
        <w:spacing w:line="360" w:lineRule="auto"/>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3、联系人：</w:t>
      </w:r>
      <w:r>
        <w:rPr>
          <w:rFonts w:hint="eastAsia" w:ascii="楷体_GB2312" w:hAnsi="楷体_GB2312" w:eastAsia="楷体_GB2312" w:cs="楷体_GB2312"/>
          <w:kern w:val="0"/>
          <w:sz w:val="24"/>
        </w:rPr>
        <w:t>沈国盛老师：TEL：13575705683</w:t>
      </w:r>
      <w:r>
        <w:rPr>
          <w:rFonts w:hint="eastAsia" w:ascii="楷体_GB2312" w:hAnsi="楷体_GB2312" w:eastAsia="楷体_GB2312" w:cs="楷体_GB2312"/>
          <w:sz w:val="24"/>
          <w:szCs w:val="24"/>
        </w:rPr>
        <w:t>（+600）</w:t>
      </w:r>
    </w:p>
    <w:p>
      <w:pPr>
        <w:spacing w:line="360" w:lineRule="auto"/>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QQ邮箱：103718957@qq.com</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tbl>
      <w:tblPr>
        <w:tblStyle w:val="6"/>
        <w:tblW w:w="8540" w:type="dxa"/>
        <w:tblInd w:w="95" w:type="dxa"/>
        <w:tblLayout w:type="fixed"/>
        <w:tblCellMar>
          <w:top w:w="0" w:type="dxa"/>
          <w:left w:w="108" w:type="dxa"/>
          <w:bottom w:w="0" w:type="dxa"/>
          <w:right w:w="108" w:type="dxa"/>
        </w:tblCellMar>
      </w:tblPr>
      <w:tblGrid>
        <w:gridCol w:w="1708"/>
        <w:gridCol w:w="1708"/>
        <w:gridCol w:w="1708"/>
        <w:gridCol w:w="1708"/>
        <w:gridCol w:w="1708"/>
      </w:tblGrid>
      <w:tr>
        <w:tblPrEx>
          <w:tblLayout w:type="fixed"/>
          <w:tblCellMar>
            <w:top w:w="0" w:type="dxa"/>
            <w:left w:w="108" w:type="dxa"/>
            <w:bottom w:w="0" w:type="dxa"/>
            <w:right w:w="108" w:type="dxa"/>
          </w:tblCellMar>
        </w:tblPrEx>
        <w:trPr>
          <w:trHeight w:val="462" w:hRule="atLeast"/>
        </w:trPr>
        <w:tc>
          <w:tcPr>
            <w:tcW w:w="8540" w:type="dxa"/>
            <w:gridSpan w:val="5"/>
            <w:tcBorders>
              <w:top w:val="nil"/>
              <w:left w:val="nil"/>
              <w:bottom w:val="nil"/>
              <w:right w:val="nil"/>
            </w:tcBorders>
            <w:vAlign w:val="center"/>
          </w:tcPr>
          <w:p>
            <w:pPr>
              <w:spacing w:line="360" w:lineRule="auto"/>
              <w:jc w:val="center"/>
              <w:rPr>
                <w:rFonts w:ascii="宋体"/>
                <w:b/>
                <w:sz w:val="24"/>
              </w:rPr>
            </w:pPr>
          </w:p>
          <w:p>
            <w:pPr>
              <w:spacing w:line="360" w:lineRule="auto"/>
              <w:rPr>
                <w:rFonts w:ascii="宋体"/>
                <w:b/>
                <w:sz w:val="24"/>
              </w:rPr>
            </w:pPr>
          </w:p>
          <w:p>
            <w:pPr>
              <w:spacing w:line="360" w:lineRule="auto"/>
              <w:jc w:val="center"/>
              <w:rPr>
                <w:rFonts w:ascii="宋体" w:cs="宋体"/>
                <w:b/>
                <w:bCs/>
                <w:kern w:val="0"/>
                <w:sz w:val="32"/>
                <w:szCs w:val="32"/>
              </w:rPr>
            </w:pPr>
            <w:r>
              <w:rPr>
                <w:rFonts w:hint="eastAsia" w:ascii="宋体" w:hAnsi="宋体"/>
                <w:b/>
                <w:sz w:val="24"/>
              </w:rPr>
              <w:t>汽车轮胎拆装比赛报名表</w:t>
            </w:r>
          </w:p>
        </w:tc>
      </w:tr>
      <w:tr>
        <w:tblPrEx>
          <w:tblLayout w:type="fixed"/>
          <w:tblCellMar>
            <w:top w:w="0" w:type="dxa"/>
            <w:left w:w="108" w:type="dxa"/>
            <w:bottom w:w="0" w:type="dxa"/>
            <w:right w:w="108" w:type="dxa"/>
          </w:tblCellMar>
        </w:tblPrEx>
        <w:trPr>
          <w:trHeight w:val="402" w:hRule="atLeast"/>
        </w:trPr>
        <w:tc>
          <w:tcPr>
            <w:tcW w:w="1708"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1708" w:type="dxa"/>
            <w:tcBorders>
              <w:top w:val="single" w:color="auto" w:sz="4" w:space="0"/>
              <w:left w:val="nil"/>
              <w:bottom w:val="nil"/>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班级</w:t>
            </w:r>
          </w:p>
        </w:tc>
        <w:tc>
          <w:tcPr>
            <w:tcW w:w="1708" w:type="dxa"/>
            <w:tcBorders>
              <w:top w:val="single" w:color="auto" w:sz="4" w:space="0"/>
              <w:left w:val="nil"/>
              <w:bottom w:val="nil"/>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学号</w:t>
            </w:r>
          </w:p>
        </w:tc>
        <w:tc>
          <w:tcPr>
            <w:tcW w:w="1708" w:type="dxa"/>
            <w:tcBorders>
              <w:top w:val="single" w:color="auto" w:sz="4" w:space="0"/>
              <w:left w:val="nil"/>
              <w:bottom w:val="nil"/>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姓名</w:t>
            </w:r>
          </w:p>
        </w:tc>
        <w:tc>
          <w:tcPr>
            <w:tcW w:w="1708" w:type="dxa"/>
            <w:tcBorders>
              <w:top w:val="single" w:color="auto" w:sz="4" w:space="0"/>
              <w:left w:val="nil"/>
              <w:bottom w:val="nil"/>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402"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bookmarkStart w:id="0" w:name="_GoBack"/>
            <w:bookmarkEnd w:id="0"/>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27" w:hRule="atLeast"/>
        </w:trPr>
        <w:tc>
          <w:tcPr>
            <w:tcW w:w="170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70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85" w:hRule="atLeast"/>
        </w:trPr>
        <w:tc>
          <w:tcPr>
            <w:tcW w:w="8540" w:type="dxa"/>
            <w:gridSpan w:val="5"/>
            <w:tcBorders>
              <w:top w:val="nil"/>
              <w:left w:val="nil"/>
              <w:bottom w:val="nil"/>
              <w:right w:val="nil"/>
            </w:tcBorders>
            <w:vAlign w:val="center"/>
          </w:tcPr>
          <w:p>
            <w:pPr>
              <w:widowControl/>
              <w:jc w:val="left"/>
              <w:rPr>
                <w:rFonts w:hint="eastAsia" w:ascii="楷体_GB2312" w:hAnsi="楷体_GB2312" w:eastAsia="楷体_GB2312" w:cs="楷体_GB2312"/>
                <w:kern w:val="0"/>
                <w:sz w:val="24"/>
                <w:lang w:val="en-US" w:eastAsia="zh-CN"/>
              </w:rPr>
            </w:pPr>
            <w:r>
              <w:rPr>
                <w:rFonts w:hint="eastAsia" w:ascii="楷体_GB2312" w:hAnsi="楷体_GB2312" w:eastAsia="楷体_GB2312" w:cs="楷体_GB2312"/>
                <w:kern w:val="0"/>
                <w:sz w:val="24"/>
              </w:rPr>
              <w:t>请各班以班级为单位，填好表格发沈国盛老师</w:t>
            </w:r>
            <w:r>
              <w:rPr>
                <w:rFonts w:hint="eastAsia" w:ascii="楷体_GB2312" w:hAnsi="楷体_GB2312" w:eastAsia="楷体_GB2312" w:cs="楷体_GB2312"/>
                <w:kern w:val="0"/>
                <w:sz w:val="24"/>
                <w:lang w:eastAsia="zh-CN"/>
              </w:rPr>
              <w:t>，103718957</w:t>
            </w:r>
            <w:r>
              <w:rPr>
                <w:rFonts w:hint="eastAsia" w:ascii="楷体_GB2312" w:hAnsi="楷体_GB2312" w:eastAsia="楷体_GB2312" w:cs="楷体_GB2312"/>
                <w:kern w:val="0"/>
                <w:sz w:val="24"/>
                <w:lang w:val="en-US" w:eastAsia="zh-CN"/>
              </w:rPr>
              <w:t>@qq.com</w:t>
            </w:r>
          </w:p>
        </w:tc>
      </w:tr>
      <w:tr>
        <w:tblPrEx>
          <w:tblLayout w:type="fixed"/>
          <w:tblCellMar>
            <w:top w:w="0" w:type="dxa"/>
            <w:left w:w="108" w:type="dxa"/>
            <w:bottom w:w="0" w:type="dxa"/>
            <w:right w:w="108" w:type="dxa"/>
          </w:tblCellMar>
        </w:tblPrEx>
        <w:trPr>
          <w:trHeight w:val="285" w:hRule="atLeast"/>
        </w:trPr>
        <w:tc>
          <w:tcPr>
            <w:tcW w:w="8540" w:type="dxa"/>
            <w:gridSpan w:val="5"/>
            <w:tcBorders>
              <w:top w:val="nil"/>
              <w:left w:val="nil"/>
              <w:bottom w:val="nil"/>
              <w:right w:val="nil"/>
            </w:tcBorders>
            <w:vAlign w:val="center"/>
          </w:tcPr>
          <w:p>
            <w:pPr>
              <w:spacing w:line="480" w:lineRule="auto"/>
              <w:ind w:firstLine="480" w:firstLineChars="200"/>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联系方式：沈国盛老师：TEL：13575705683</w:t>
            </w:r>
            <w:r>
              <w:rPr>
                <w:rFonts w:hint="eastAsia" w:ascii="楷体_GB2312" w:hAnsi="楷体_GB2312" w:eastAsia="楷体_GB2312" w:cs="楷体_GB2312"/>
                <w:sz w:val="24"/>
                <w:szCs w:val="24"/>
              </w:rPr>
              <w:t>（+600）</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A681"/>
    <w:multiLevelType w:val="singleLevel"/>
    <w:tmpl w:val="5832A681"/>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76F"/>
    <w:rsid w:val="00143454"/>
    <w:rsid w:val="002822F0"/>
    <w:rsid w:val="003C3005"/>
    <w:rsid w:val="0066676F"/>
    <w:rsid w:val="00730EC5"/>
    <w:rsid w:val="00742A25"/>
    <w:rsid w:val="007B7D50"/>
    <w:rsid w:val="007D4F00"/>
    <w:rsid w:val="007F471C"/>
    <w:rsid w:val="009642A6"/>
    <w:rsid w:val="009A75C6"/>
    <w:rsid w:val="00A333DE"/>
    <w:rsid w:val="00B201BF"/>
    <w:rsid w:val="00B85F79"/>
    <w:rsid w:val="00BA7841"/>
    <w:rsid w:val="00BB2F8D"/>
    <w:rsid w:val="00BD6A66"/>
    <w:rsid w:val="00C14542"/>
    <w:rsid w:val="00D701B1"/>
    <w:rsid w:val="00F21532"/>
    <w:rsid w:val="00F44A42"/>
    <w:rsid w:val="00FF3CCF"/>
    <w:rsid w:val="019604A9"/>
    <w:rsid w:val="01F739C5"/>
    <w:rsid w:val="01FB23CB"/>
    <w:rsid w:val="02385AB4"/>
    <w:rsid w:val="02A163DC"/>
    <w:rsid w:val="02B42E7F"/>
    <w:rsid w:val="03051984"/>
    <w:rsid w:val="05C36005"/>
    <w:rsid w:val="063B1146"/>
    <w:rsid w:val="06C16E21"/>
    <w:rsid w:val="073161DB"/>
    <w:rsid w:val="07F6399B"/>
    <w:rsid w:val="085E5949"/>
    <w:rsid w:val="08A502BB"/>
    <w:rsid w:val="09002F54"/>
    <w:rsid w:val="09B329F7"/>
    <w:rsid w:val="0A83784C"/>
    <w:rsid w:val="0A887557"/>
    <w:rsid w:val="0B103920"/>
    <w:rsid w:val="0B1338B8"/>
    <w:rsid w:val="0B5C2DB3"/>
    <w:rsid w:val="0C483CB5"/>
    <w:rsid w:val="0C5C2956"/>
    <w:rsid w:val="0D737F1F"/>
    <w:rsid w:val="0DF04F6A"/>
    <w:rsid w:val="0E596F18"/>
    <w:rsid w:val="10B10371"/>
    <w:rsid w:val="10FF5EF2"/>
    <w:rsid w:val="11015B72"/>
    <w:rsid w:val="11B02492"/>
    <w:rsid w:val="11CE1A42"/>
    <w:rsid w:val="11D3174D"/>
    <w:rsid w:val="1203449B"/>
    <w:rsid w:val="12BC5E48"/>
    <w:rsid w:val="12F21BA5"/>
    <w:rsid w:val="13FB45D6"/>
    <w:rsid w:val="146A010D"/>
    <w:rsid w:val="14FF6402"/>
    <w:rsid w:val="15CC22D2"/>
    <w:rsid w:val="163F0F8C"/>
    <w:rsid w:val="171E2B79"/>
    <w:rsid w:val="184C57E9"/>
    <w:rsid w:val="18B67417"/>
    <w:rsid w:val="191E3943"/>
    <w:rsid w:val="198432E8"/>
    <w:rsid w:val="1A2F4A85"/>
    <w:rsid w:val="1A322187"/>
    <w:rsid w:val="1A4C2D31"/>
    <w:rsid w:val="1A6516DC"/>
    <w:rsid w:val="1AFF6057"/>
    <w:rsid w:val="1B394F38"/>
    <w:rsid w:val="1B795D21"/>
    <w:rsid w:val="1BE03147"/>
    <w:rsid w:val="1EE01536"/>
    <w:rsid w:val="1F44705C"/>
    <w:rsid w:val="20B34CB4"/>
    <w:rsid w:val="20FA7627"/>
    <w:rsid w:val="21687C5B"/>
    <w:rsid w:val="219F1439"/>
    <w:rsid w:val="226755FF"/>
    <w:rsid w:val="23150C1B"/>
    <w:rsid w:val="248B1A81"/>
    <w:rsid w:val="24971117"/>
    <w:rsid w:val="257B138A"/>
    <w:rsid w:val="25E33337"/>
    <w:rsid w:val="26AE6283"/>
    <w:rsid w:val="277B2154"/>
    <w:rsid w:val="28813C00"/>
    <w:rsid w:val="28913E9A"/>
    <w:rsid w:val="28E4088A"/>
    <w:rsid w:val="2A134397"/>
    <w:rsid w:val="2A544E00"/>
    <w:rsid w:val="2B031721"/>
    <w:rsid w:val="2B6504C0"/>
    <w:rsid w:val="2B683643"/>
    <w:rsid w:val="2BE27A8A"/>
    <w:rsid w:val="2BF33941"/>
    <w:rsid w:val="2D23171B"/>
    <w:rsid w:val="2DB46A8B"/>
    <w:rsid w:val="2DDC4CDF"/>
    <w:rsid w:val="2E423D71"/>
    <w:rsid w:val="2EDF7472"/>
    <w:rsid w:val="2FAC3343"/>
    <w:rsid w:val="32437B04"/>
    <w:rsid w:val="345E10F8"/>
    <w:rsid w:val="35D41F5E"/>
    <w:rsid w:val="35D466DB"/>
    <w:rsid w:val="35F7121A"/>
    <w:rsid w:val="370A6758"/>
    <w:rsid w:val="37907CB6"/>
    <w:rsid w:val="379C154A"/>
    <w:rsid w:val="37B833F9"/>
    <w:rsid w:val="39CD7260"/>
    <w:rsid w:val="3A386910"/>
    <w:rsid w:val="3B977B51"/>
    <w:rsid w:val="3D5742AE"/>
    <w:rsid w:val="3DF379B0"/>
    <w:rsid w:val="3E0635B6"/>
    <w:rsid w:val="3E6B1BF8"/>
    <w:rsid w:val="3F536673"/>
    <w:rsid w:val="3F7F29BA"/>
    <w:rsid w:val="40B14030"/>
    <w:rsid w:val="40CE13E2"/>
    <w:rsid w:val="42702D0D"/>
    <w:rsid w:val="45780A86"/>
    <w:rsid w:val="47400072"/>
    <w:rsid w:val="47B14EAE"/>
    <w:rsid w:val="48085D51"/>
    <w:rsid w:val="480D12D6"/>
    <w:rsid w:val="48BD0863"/>
    <w:rsid w:val="48DB3696"/>
    <w:rsid w:val="495A6163"/>
    <w:rsid w:val="4ACD18C8"/>
    <w:rsid w:val="4B5D20B0"/>
    <w:rsid w:val="4BBF46D3"/>
    <w:rsid w:val="4C613EDC"/>
    <w:rsid w:val="4CD13297"/>
    <w:rsid w:val="4D5A40F4"/>
    <w:rsid w:val="4D8C39CA"/>
    <w:rsid w:val="4DA06DE7"/>
    <w:rsid w:val="4E264AC2"/>
    <w:rsid w:val="4E7A7DCF"/>
    <w:rsid w:val="50286811"/>
    <w:rsid w:val="50714687"/>
    <w:rsid w:val="50863327"/>
    <w:rsid w:val="512B18B7"/>
    <w:rsid w:val="51544C79"/>
    <w:rsid w:val="51C0562E"/>
    <w:rsid w:val="51FF0996"/>
    <w:rsid w:val="52077FA0"/>
    <w:rsid w:val="522378D0"/>
    <w:rsid w:val="52ED6F99"/>
    <w:rsid w:val="53D57297"/>
    <w:rsid w:val="53EA723C"/>
    <w:rsid w:val="553A7E63"/>
    <w:rsid w:val="55CF0356"/>
    <w:rsid w:val="57BA337A"/>
    <w:rsid w:val="581E41F1"/>
    <w:rsid w:val="58784A31"/>
    <w:rsid w:val="5B1E5F8A"/>
    <w:rsid w:val="5BE50A3B"/>
    <w:rsid w:val="5C025303"/>
    <w:rsid w:val="5C1916A5"/>
    <w:rsid w:val="5C7C3948"/>
    <w:rsid w:val="5D4E3CA0"/>
    <w:rsid w:val="5D8C1586"/>
    <w:rsid w:val="5E45203A"/>
    <w:rsid w:val="5F600A41"/>
    <w:rsid w:val="5F6243B5"/>
    <w:rsid w:val="5FF25578"/>
    <w:rsid w:val="60083E99"/>
    <w:rsid w:val="61B009D1"/>
    <w:rsid w:val="61EE62B8"/>
    <w:rsid w:val="62CA27A3"/>
    <w:rsid w:val="630A578B"/>
    <w:rsid w:val="63976673"/>
    <w:rsid w:val="63AC7512"/>
    <w:rsid w:val="64DE0B89"/>
    <w:rsid w:val="654B153D"/>
    <w:rsid w:val="6604096B"/>
    <w:rsid w:val="66BB2698"/>
    <w:rsid w:val="69981B4C"/>
    <w:rsid w:val="6B223851"/>
    <w:rsid w:val="6B244B56"/>
    <w:rsid w:val="6B601138"/>
    <w:rsid w:val="6DD753C4"/>
    <w:rsid w:val="6E360C61"/>
    <w:rsid w:val="6FF07C32"/>
    <w:rsid w:val="700F26E5"/>
    <w:rsid w:val="70105F68"/>
    <w:rsid w:val="72FB2640"/>
    <w:rsid w:val="73206B70"/>
    <w:rsid w:val="738A079E"/>
    <w:rsid w:val="739F163C"/>
    <w:rsid w:val="75982A7C"/>
    <w:rsid w:val="769E4528"/>
    <w:rsid w:val="77B57573"/>
    <w:rsid w:val="784A5868"/>
    <w:rsid w:val="78905FDD"/>
    <w:rsid w:val="79001B14"/>
    <w:rsid w:val="79D31AEC"/>
    <w:rsid w:val="7ACA0D7F"/>
    <w:rsid w:val="7B974C50"/>
    <w:rsid w:val="7C682DAA"/>
    <w:rsid w:val="7DCD267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locked/>
    <w:uiPriority w:val="0"/>
    <w:pPr>
      <w:tabs>
        <w:tab w:val="center" w:pos="4153"/>
        <w:tab w:val="right" w:pos="8306"/>
      </w:tabs>
      <w:snapToGrid w:val="0"/>
      <w:jc w:val="left"/>
    </w:pPr>
    <w:rPr>
      <w:sz w:val="18"/>
      <w:szCs w:val="18"/>
    </w:rPr>
  </w:style>
  <w:style w:type="paragraph" w:styleId="3">
    <w:name w:val="header"/>
    <w:basedOn w:val="1"/>
    <w:link w:val="8"/>
    <w:qFormat/>
    <w:lock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96" w:after="192"/>
      <w:jc w:val="left"/>
    </w:pPr>
    <w:rPr>
      <w:rFonts w:ascii="宋体" w:hAnsi="宋体" w:cs="宋体"/>
      <w:kern w:val="0"/>
      <w:sz w:val="24"/>
    </w:rPr>
  </w:style>
  <w:style w:type="paragraph" w:customStyle="1" w:styleId="7">
    <w:name w:val="msolistparagraph"/>
    <w:basedOn w:val="1"/>
    <w:qFormat/>
    <w:uiPriority w:val="99"/>
    <w:pPr>
      <w:ind w:firstLine="420" w:firstLineChars="200"/>
    </w:pPr>
    <w:rPr>
      <w:rFonts w:ascii="Calibri" w:hAnsi="Calibri"/>
      <w:szCs w:val="22"/>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371</Words>
  <Characters>2117</Characters>
  <Lines>17</Lines>
  <Paragraphs>4</Paragraphs>
  <TotalTime>1</TotalTime>
  <ScaleCrop>false</ScaleCrop>
  <LinksUpToDate>false</LinksUpToDate>
  <CharactersWithSpaces>2484</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2015-11-04T02:54:00Z</dcterms:created>
  <dc:creator>Administrator</dc:creator>
  <cp:lastModifiedBy>May</cp:lastModifiedBy>
  <dcterms:modified xsi:type="dcterms:W3CDTF">2018-10-30T08:40:14Z</dcterms:modified>
  <dc:title>2014年浙江经济职业技术学院汽车轮胎拆装与检查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